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党组织参与重大事项决策制度</w:t>
      </w:r>
    </w:p>
    <w:p w14:paraId="7E591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为充分发挥党组织政治功能和作用，保证正确政治方向，监督引导协会依法执业、诚信从业，依据《中国共产党章程》《中国共产党重大事项请示报告条例》及协会章程规定，制定本制度。</w:t>
      </w:r>
    </w:p>
    <w:p w14:paraId="7064C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本制度所称“重大事项”是指本会开展以下事项活动：</w:t>
      </w:r>
    </w:p>
    <w:p w14:paraId="70CF8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召开会员代表大会、重要理事会，提前或延期换届；</w:t>
      </w:r>
    </w:p>
    <w:p w14:paraId="6C24E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换届选举，增补或调整负责人、理事、监事等；</w:t>
      </w:r>
    </w:p>
    <w:p w14:paraId="7725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变更法定登记事项、制定修改章程、制定或调整会费标准等；</w:t>
      </w:r>
    </w:p>
    <w:p w14:paraId="48AE1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开展从业水平评价、优秀成果奖评选等重要业务活动；</w:t>
      </w:r>
    </w:p>
    <w:p w14:paraId="4D505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设立、调整分支机构、代表机构；</w:t>
      </w:r>
    </w:p>
    <w:p w14:paraId="10D59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制定年度工作计划；</w:t>
      </w:r>
    </w:p>
    <w:p w14:paraId="64595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（七）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其他重大活动。</w:t>
      </w:r>
    </w:p>
    <w:p w14:paraId="01197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协会成立的党组织对重大事项提出意见、参与决策，重点监督是否符合党的路线方针政策和法律法规，是否有利于协会及行业健康发展，是否维护社会公众利益和会员合法权益。</w:t>
      </w:r>
    </w:p>
    <w:p w14:paraId="4DFF0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参与重大事项决策，应以习近平新时代中国特色社会主义思想为指导，贯彻落实党的路线方针和上级决议；充分发挥党组织政治监督，坚持党的领导与社会组织依法自治相统一；有效防范化解政治、意识形态、安全生产、公信力等各类风险。</w:t>
      </w:r>
    </w:p>
    <w:p w14:paraId="73786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协会重大事项可召开党组织与管理层联席会议研究，讨论事项、过程、结果应予记录并形成会议纪要。</w:t>
      </w:r>
    </w:p>
    <w:p w14:paraId="52B0E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党组织参与决策前应深入调研分析，广泛听取协会负责人、理事、监事、会员单位等方面意见。</w:t>
      </w:r>
    </w:p>
    <w:p w14:paraId="088AB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经第五届一次理事会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审议通过后生效，由协会成立的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党支部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和理事会负责执行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55E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0AD30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0AD30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84EB7"/>
    <w:rsid w:val="00017A05"/>
    <w:rsid w:val="04B42F43"/>
    <w:rsid w:val="14101C60"/>
    <w:rsid w:val="1AFB19DB"/>
    <w:rsid w:val="27A42993"/>
    <w:rsid w:val="28180C8B"/>
    <w:rsid w:val="2A750617"/>
    <w:rsid w:val="2B996587"/>
    <w:rsid w:val="2F0F4EA3"/>
    <w:rsid w:val="34CD4B51"/>
    <w:rsid w:val="39184EB7"/>
    <w:rsid w:val="3ED2259D"/>
    <w:rsid w:val="41FA16D6"/>
    <w:rsid w:val="4AC40AD3"/>
    <w:rsid w:val="536E5A80"/>
    <w:rsid w:val="62205443"/>
    <w:rsid w:val="65FA7647"/>
    <w:rsid w:val="66521231"/>
    <w:rsid w:val="6ED87008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624</Characters>
  <Lines>0</Lines>
  <Paragraphs>0</Paragraphs>
  <TotalTime>21</TotalTime>
  <ScaleCrop>false</ScaleCrop>
  <LinksUpToDate>false</LinksUpToDate>
  <CharactersWithSpaces>631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2026-05-20T05:50:00Z</dcterms:created>
  <dc:creator>憂傷</dc:creator>
  <cp:lastModifiedBy>蚂蚁明元</cp:lastModifiedBy>
  <dcterms:modified xsi:type="dcterms:W3CDTF">2026-06-12T03:08:10Z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4A018C0035DD49E69B759D706AA17A2D_11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