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E72E9" w14:textId="279DC2F1" w:rsidR="000451E4" w:rsidRDefault="000451E4" w:rsidP="000451E4">
      <w:pPr>
        <w:autoSpaceDE w:val="0"/>
        <w:autoSpaceDN w:val="0"/>
        <w:adjustRightInd w:val="0"/>
        <w:ind w:firstLineChars="200" w:firstLine="560"/>
        <w:jc w:val="center"/>
        <w:rPr>
          <w:rFonts w:ascii="黑体" w:eastAsia="黑体" w:hAnsi="Times New Roman" w:cs="黑体"/>
          <w:kern w:val="0"/>
          <w:sz w:val="28"/>
          <w:szCs w:val="28"/>
        </w:rPr>
      </w:pPr>
      <w:r>
        <w:rPr>
          <w:rFonts w:ascii="黑体" w:eastAsia="黑体" w:hAnsi="Times New Roman" w:cs="黑体" w:hint="eastAsia"/>
          <w:kern w:val="0"/>
          <w:sz w:val="28"/>
          <w:szCs w:val="28"/>
        </w:rPr>
        <w:t>山东省水利职工技术协会水文、水资源调查评价单位从业水平评价打分</w:t>
      </w:r>
      <w:r w:rsidR="00503B8A">
        <w:rPr>
          <w:rFonts w:ascii="黑体" w:eastAsia="黑体" w:hAnsi="Times New Roman" w:cs="黑体" w:hint="eastAsia"/>
          <w:kern w:val="0"/>
          <w:sz w:val="28"/>
          <w:szCs w:val="28"/>
        </w:rPr>
        <w:t>表</w:t>
      </w:r>
    </w:p>
    <w:tbl>
      <w:tblPr>
        <w:tblStyle w:val="a7"/>
        <w:tblW w:w="20711" w:type="dxa"/>
        <w:jc w:val="center"/>
        <w:tblLook w:val="04A0" w:firstRow="1" w:lastRow="0" w:firstColumn="1" w:lastColumn="0" w:noHBand="0" w:noVBand="1"/>
      </w:tblPr>
      <w:tblGrid>
        <w:gridCol w:w="577"/>
        <w:gridCol w:w="1595"/>
        <w:gridCol w:w="1102"/>
        <w:gridCol w:w="8352"/>
        <w:gridCol w:w="2163"/>
        <w:gridCol w:w="2685"/>
        <w:gridCol w:w="756"/>
        <w:gridCol w:w="1998"/>
        <w:gridCol w:w="1483"/>
      </w:tblGrid>
      <w:tr w:rsidR="000451E4" w:rsidRPr="000451E4" w14:paraId="4DA195F0" w14:textId="77777777" w:rsidTr="00113A4E">
        <w:trPr>
          <w:trHeight w:val="771"/>
          <w:jc w:val="center"/>
        </w:trPr>
        <w:tc>
          <w:tcPr>
            <w:tcW w:w="0" w:type="auto"/>
            <w:vAlign w:val="center"/>
          </w:tcPr>
          <w:p w14:paraId="06AB00DB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="仿宋" w:hAnsi="Times New Roman"/>
                <w:b/>
                <w:sz w:val="24"/>
                <w:szCs w:val="24"/>
              </w:rPr>
            </w:pPr>
            <w:r w:rsidRPr="000451E4">
              <w:rPr>
                <w:rFonts w:ascii="Times New Roman" w:eastAsia="仿宋" w:hAnsi="Times New Roman"/>
                <w:b/>
                <w:sz w:val="24"/>
                <w:szCs w:val="24"/>
              </w:rPr>
              <w:t>序号</w:t>
            </w:r>
          </w:p>
        </w:tc>
        <w:tc>
          <w:tcPr>
            <w:tcW w:w="0" w:type="auto"/>
            <w:vAlign w:val="center"/>
          </w:tcPr>
          <w:p w14:paraId="694C8B7A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="仿宋" w:hAnsi="Times New Roman"/>
                <w:b/>
                <w:sz w:val="24"/>
                <w:szCs w:val="24"/>
              </w:rPr>
            </w:pPr>
            <w:r w:rsidRPr="000451E4">
              <w:rPr>
                <w:rFonts w:ascii="Times New Roman" w:eastAsia="仿宋" w:hAnsi="Times New Roman"/>
                <w:b/>
                <w:sz w:val="24"/>
                <w:szCs w:val="24"/>
              </w:rPr>
              <w:t>评价指标</w:t>
            </w:r>
          </w:p>
        </w:tc>
        <w:tc>
          <w:tcPr>
            <w:tcW w:w="0" w:type="auto"/>
            <w:gridSpan w:val="2"/>
            <w:vAlign w:val="center"/>
          </w:tcPr>
          <w:p w14:paraId="388FB0D2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="仿宋" w:hAnsi="Times New Roman"/>
                <w:b/>
                <w:sz w:val="24"/>
                <w:szCs w:val="24"/>
              </w:rPr>
            </w:pPr>
            <w:r w:rsidRPr="000451E4">
              <w:rPr>
                <w:rFonts w:ascii="Times New Roman" w:eastAsia="仿宋" w:hAnsi="Times New Roman"/>
                <w:b/>
                <w:sz w:val="24"/>
                <w:szCs w:val="24"/>
              </w:rPr>
              <w:t>评价条件</w:t>
            </w:r>
          </w:p>
        </w:tc>
        <w:tc>
          <w:tcPr>
            <w:tcW w:w="0" w:type="auto"/>
            <w:vAlign w:val="center"/>
          </w:tcPr>
          <w:p w14:paraId="7B7F3889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="仿宋" w:hAnsi="Times New Roman"/>
                <w:b/>
                <w:sz w:val="24"/>
                <w:szCs w:val="24"/>
              </w:rPr>
            </w:pPr>
            <w:r w:rsidRPr="000451E4">
              <w:rPr>
                <w:rFonts w:ascii="Times New Roman" w:eastAsia="仿宋" w:hAnsi="Times New Roman"/>
                <w:b/>
                <w:sz w:val="24"/>
                <w:szCs w:val="24"/>
              </w:rPr>
              <w:t>加（减）分规则</w:t>
            </w:r>
          </w:p>
        </w:tc>
        <w:tc>
          <w:tcPr>
            <w:tcW w:w="0" w:type="auto"/>
            <w:vAlign w:val="center"/>
          </w:tcPr>
          <w:p w14:paraId="5AA8CE36" w14:textId="77777777" w:rsidR="000451E4" w:rsidRPr="000451E4" w:rsidRDefault="000451E4" w:rsidP="00113A4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仿宋" w:hAnsi="Times New Roman"/>
                <w:b/>
                <w:sz w:val="24"/>
                <w:szCs w:val="24"/>
              </w:rPr>
            </w:pPr>
            <w:r w:rsidRPr="000451E4">
              <w:rPr>
                <w:rFonts w:ascii="Times New Roman" w:eastAsia="仿宋" w:hAnsi="Times New Roman"/>
                <w:b/>
                <w:sz w:val="24"/>
                <w:szCs w:val="24"/>
              </w:rPr>
              <w:t>最高加（减）分限制（分）</w:t>
            </w:r>
          </w:p>
        </w:tc>
        <w:tc>
          <w:tcPr>
            <w:tcW w:w="0" w:type="auto"/>
            <w:vAlign w:val="center"/>
          </w:tcPr>
          <w:p w14:paraId="18FBE3EF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="仿宋" w:hAnsi="Times New Roman"/>
                <w:b/>
                <w:sz w:val="24"/>
                <w:szCs w:val="24"/>
              </w:rPr>
            </w:pPr>
            <w:r w:rsidRPr="000451E4">
              <w:rPr>
                <w:rFonts w:ascii="Times New Roman" w:eastAsia="仿宋" w:hAnsi="Times New Roman"/>
                <w:b/>
                <w:sz w:val="24"/>
                <w:szCs w:val="24"/>
              </w:rPr>
              <w:t>权重</w:t>
            </w:r>
          </w:p>
        </w:tc>
        <w:tc>
          <w:tcPr>
            <w:tcW w:w="0" w:type="auto"/>
            <w:vAlign w:val="center"/>
          </w:tcPr>
          <w:p w14:paraId="1263F409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="仿宋" w:hAnsi="Times New Roman"/>
                <w:b/>
                <w:sz w:val="24"/>
                <w:szCs w:val="24"/>
              </w:rPr>
            </w:pPr>
            <w:r w:rsidRPr="000451E4">
              <w:rPr>
                <w:rFonts w:ascii="Times New Roman" w:eastAsia="仿宋" w:hAnsi="Times New Roman"/>
                <w:b/>
                <w:sz w:val="24"/>
                <w:szCs w:val="24"/>
              </w:rPr>
              <w:t>按权重计分（分）</w:t>
            </w:r>
          </w:p>
        </w:tc>
        <w:tc>
          <w:tcPr>
            <w:tcW w:w="0" w:type="auto"/>
            <w:vAlign w:val="center"/>
          </w:tcPr>
          <w:p w14:paraId="1F95B731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="仿宋" w:hAnsi="Times New Roman"/>
                <w:b/>
                <w:sz w:val="24"/>
                <w:szCs w:val="24"/>
              </w:rPr>
            </w:pPr>
            <w:r w:rsidRPr="000451E4">
              <w:rPr>
                <w:rFonts w:ascii="Times New Roman" w:eastAsia="仿宋" w:hAnsi="Times New Roman"/>
                <w:b/>
                <w:sz w:val="24"/>
                <w:szCs w:val="24"/>
              </w:rPr>
              <w:t>合计（分）</w:t>
            </w:r>
          </w:p>
        </w:tc>
      </w:tr>
      <w:tr w:rsidR="000451E4" w:rsidRPr="000451E4" w14:paraId="10C24CE9" w14:textId="77777777" w:rsidTr="00113A4E">
        <w:trPr>
          <w:trHeight w:val="394"/>
          <w:jc w:val="center"/>
        </w:trPr>
        <w:tc>
          <w:tcPr>
            <w:tcW w:w="0" w:type="auto"/>
            <w:vAlign w:val="center"/>
          </w:tcPr>
          <w:p w14:paraId="4B01E86F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451E4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233ED8C5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0451E4">
              <w:rPr>
                <w:rFonts w:ascii="宋体" w:hAnsi="宋体"/>
                <w:sz w:val="24"/>
                <w:szCs w:val="24"/>
              </w:rPr>
              <w:t>基本条件</w:t>
            </w:r>
          </w:p>
        </w:tc>
        <w:tc>
          <w:tcPr>
            <w:tcW w:w="0" w:type="auto"/>
            <w:gridSpan w:val="2"/>
            <w:vAlign w:val="center"/>
          </w:tcPr>
          <w:p w14:paraId="3D0ECD5E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0451E4">
              <w:rPr>
                <w:rFonts w:ascii="宋体" w:hAnsi="宋体"/>
                <w:sz w:val="24"/>
                <w:szCs w:val="24"/>
              </w:rPr>
              <w:t>满足基本条件</w:t>
            </w:r>
          </w:p>
        </w:tc>
        <w:tc>
          <w:tcPr>
            <w:tcW w:w="0" w:type="auto"/>
            <w:vAlign w:val="center"/>
          </w:tcPr>
          <w:p w14:paraId="7BE953C8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140082E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451E4">
              <w:rPr>
                <w:rFonts w:ascii="Times New Roman" w:eastAsiaTheme="minorEastAsia" w:hAnsi="Times New Roman"/>
                <w:sz w:val="24"/>
                <w:szCs w:val="24"/>
              </w:rPr>
              <w:t>—</w:t>
            </w:r>
          </w:p>
        </w:tc>
        <w:tc>
          <w:tcPr>
            <w:tcW w:w="0" w:type="auto"/>
            <w:vAlign w:val="center"/>
          </w:tcPr>
          <w:p w14:paraId="5086B589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451E4">
              <w:rPr>
                <w:rFonts w:ascii="Times New Roman" w:eastAsiaTheme="minorEastAsia" w:hAnsi="Times New Roman"/>
                <w:sz w:val="24"/>
                <w:szCs w:val="24"/>
              </w:rPr>
              <w:t>—</w:t>
            </w:r>
          </w:p>
        </w:tc>
        <w:tc>
          <w:tcPr>
            <w:tcW w:w="0" w:type="auto"/>
            <w:vAlign w:val="center"/>
          </w:tcPr>
          <w:p w14:paraId="5AEF2707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451E4">
              <w:rPr>
                <w:rFonts w:ascii="Times New Roman" w:eastAsiaTheme="minorEastAsia" w:hAnsi="Times New Roman"/>
                <w:sz w:val="24"/>
                <w:szCs w:val="24"/>
              </w:rPr>
              <w:t>—</w:t>
            </w:r>
          </w:p>
        </w:tc>
        <w:tc>
          <w:tcPr>
            <w:tcW w:w="0" w:type="auto"/>
            <w:vAlign w:val="center"/>
          </w:tcPr>
          <w:p w14:paraId="23B924B7" w14:textId="735DFCA6" w:rsidR="000451E4" w:rsidRPr="000451E4" w:rsidRDefault="000E6CD3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</w:tr>
      <w:tr w:rsidR="000451E4" w:rsidRPr="000451E4" w14:paraId="330CF9FE" w14:textId="77777777" w:rsidTr="00113A4E">
        <w:trPr>
          <w:trHeight w:val="168"/>
          <w:jc w:val="center"/>
        </w:trPr>
        <w:tc>
          <w:tcPr>
            <w:tcW w:w="0" w:type="auto"/>
            <w:vMerge w:val="restart"/>
            <w:vAlign w:val="center"/>
          </w:tcPr>
          <w:p w14:paraId="090D449D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451E4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vAlign w:val="center"/>
          </w:tcPr>
          <w:p w14:paraId="5D0DF6D4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0451E4">
              <w:rPr>
                <w:rFonts w:ascii="宋体" w:hAnsi="宋体"/>
                <w:sz w:val="24"/>
                <w:szCs w:val="24"/>
              </w:rPr>
              <w:t>单位实力</w:t>
            </w:r>
          </w:p>
        </w:tc>
        <w:tc>
          <w:tcPr>
            <w:tcW w:w="0" w:type="auto"/>
            <w:vMerge w:val="restart"/>
            <w:vAlign w:val="center"/>
          </w:tcPr>
          <w:p w14:paraId="7BC2FAE7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0451E4">
              <w:rPr>
                <w:rFonts w:ascii="宋体" w:hAnsi="宋体"/>
                <w:sz w:val="24"/>
                <w:szCs w:val="24"/>
              </w:rPr>
              <w:t>职称</w:t>
            </w:r>
          </w:p>
          <w:p w14:paraId="02207299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0451E4">
              <w:rPr>
                <w:rFonts w:ascii="宋体" w:hAnsi="宋体"/>
                <w:sz w:val="24"/>
                <w:szCs w:val="24"/>
              </w:rPr>
              <w:t>结构</w:t>
            </w:r>
          </w:p>
        </w:tc>
        <w:tc>
          <w:tcPr>
            <w:tcW w:w="0" w:type="auto"/>
            <w:vAlign w:val="center"/>
          </w:tcPr>
          <w:p w14:paraId="31D902AB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0451E4">
              <w:rPr>
                <w:rFonts w:ascii="宋体" w:hAnsi="宋体"/>
                <w:sz w:val="24"/>
                <w:szCs w:val="24"/>
              </w:rPr>
              <w:t>具有正高级专业技术职称的技术人员数</w:t>
            </w:r>
          </w:p>
        </w:tc>
        <w:tc>
          <w:tcPr>
            <w:tcW w:w="0" w:type="auto"/>
            <w:vAlign w:val="center"/>
          </w:tcPr>
          <w:p w14:paraId="6D481E9B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451E4">
              <w:rPr>
                <w:rFonts w:ascii="Times New Roman" w:hAnsi="Times New Roman"/>
                <w:sz w:val="24"/>
                <w:szCs w:val="24"/>
              </w:rPr>
              <w:t>每有</w:t>
            </w:r>
            <w:r w:rsidRPr="000451E4">
              <w:rPr>
                <w:rFonts w:ascii="Times New Roman" w:hAnsi="Times New Roman"/>
                <w:sz w:val="24"/>
                <w:szCs w:val="24"/>
              </w:rPr>
              <w:t>1</w:t>
            </w:r>
            <w:r w:rsidRPr="000451E4">
              <w:rPr>
                <w:rFonts w:ascii="Times New Roman" w:hAnsi="Times New Roman"/>
                <w:sz w:val="24"/>
                <w:szCs w:val="24"/>
              </w:rPr>
              <w:t>人加</w:t>
            </w:r>
            <w:r w:rsidRPr="000451E4">
              <w:rPr>
                <w:rFonts w:ascii="Times New Roman" w:hAnsi="Times New Roman"/>
                <w:sz w:val="24"/>
                <w:szCs w:val="24"/>
              </w:rPr>
              <w:t>5</w:t>
            </w:r>
            <w:r w:rsidRPr="000451E4">
              <w:rPr>
                <w:rFonts w:ascii="Times New Roman" w:hAnsi="Times New Roman"/>
                <w:sz w:val="24"/>
                <w:szCs w:val="24"/>
              </w:rPr>
              <w:t>分</w:t>
            </w:r>
          </w:p>
        </w:tc>
        <w:tc>
          <w:tcPr>
            <w:tcW w:w="0" w:type="auto"/>
            <w:vMerge w:val="restart"/>
            <w:vAlign w:val="center"/>
          </w:tcPr>
          <w:p w14:paraId="02CB11E7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451E4"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Merge w:val="restart"/>
            <w:vAlign w:val="center"/>
          </w:tcPr>
          <w:p w14:paraId="437A8C7B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451E4">
              <w:rPr>
                <w:rFonts w:ascii="Times New Roman" w:eastAsiaTheme="minorEastAsia" w:hAnsi="Times New Roman"/>
                <w:sz w:val="24"/>
                <w:szCs w:val="24"/>
              </w:rPr>
              <w:t>0.3</w:t>
            </w:r>
          </w:p>
        </w:tc>
        <w:tc>
          <w:tcPr>
            <w:tcW w:w="0" w:type="auto"/>
            <w:vMerge w:val="restart"/>
            <w:vAlign w:val="center"/>
          </w:tcPr>
          <w:p w14:paraId="4F6C220D" w14:textId="4CE53493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026335A0" w14:textId="50360405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451E4" w:rsidRPr="000451E4" w14:paraId="4DD68305" w14:textId="77777777" w:rsidTr="00113A4E">
        <w:trPr>
          <w:trHeight w:val="207"/>
          <w:jc w:val="center"/>
        </w:trPr>
        <w:tc>
          <w:tcPr>
            <w:tcW w:w="0" w:type="auto"/>
            <w:vMerge/>
            <w:vAlign w:val="center"/>
          </w:tcPr>
          <w:p w14:paraId="13DF47F7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77D88C2B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9864BBA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013ED05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0451E4">
              <w:rPr>
                <w:rFonts w:ascii="宋体" w:hAnsi="宋体"/>
                <w:sz w:val="24"/>
                <w:szCs w:val="24"/>
              </w:rPr>
              <w:t>具有副高级专业技术职称的技术人员数</w:t>
            </w:r>
          </w:p>
        </w:tc>
        <w:tc>
          <w:tcPr>
            <w:tcW w:w="0" w:type="auto"/>
            <w:vAlign w:val="center"/>
          </w:tcPr>
          <w:p w14:paraId="5778B979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451E4">
              <w:rPr>
                <w:rFonts w:ascii="Times New Roman" w:hAnsi="Times New Roman"/>
                <w:sz w:val="24"/>
                <w:szCs w:val="24"/>
              </w:rPr>
              <w:t>每有</w:t>
            </w:r>
            <w:r w:rsidRPr="000451E4">
              <w:rPr>
                <w:rFonts w:ascii="Times New Roman" w:hAnsi="Times New Roman"/>
                <w:sz w:val="24"/>
                <w:szCs w:val="24"/>
              </w:rPr>
              <w:t>1</w:t>
            </w:r>
            <w:r w:rsidRPr="000451E4">
              <w:rPr>
                <w:rFonts w:ascii="Times New Roman" w:hAnsi="Times New Roman"/>
                <w:sz w:val="24"/>
                <w:szCs w:val="24"/>
              </w:rPr>
              <w:t>人加</w:t>
            </w:r>
            <w:r w:rsidRPr="000451E4">
              <w:rPr>
                <w:rFonts w:ascii="Times New Roman" w:hAnsi="Times New Roman"/>
                <w:sz w:val="24"/>
                <w:szCs w:val="24"/>
              </w:rPr>
              <w:t>3</w:t>
            </w:r>
            <w:r w:rsidRPr="000451E4">
              <w:rPr>
                <w:rFonts w:ascii="Times New Roman" w:hAnsi="Times New Roman"/>
                <w:sz w:val="24"/>
                <w:szCs w:val="24"/>
              </w:rPr>
              <w:t>分</w:t>
            </w:r>
          </w:p>
        </w:tc>
        <w:tc>
          <w:tcPr>
            <w:tcW w:w="0" w:type="auto"/>
            <w:vMerge/>
            <w:vAlign w:val="center"/>
          </w:tcPr>
          <w:p w14:paraId="4D703CEF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5DE7ED4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23B47B56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5DEC506E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451E4" w:rsidRPr="000451E4" w14:paraId="01291B30" w14:textId="77777777" w:rsidTr="00113A4E">
        <w:trPr>
          <w:trHeight w:val="378"/>
          <w:jc w:val="center"/>
        </w:trPr>
        <w:tc>
          <w:tcPr>
            <w:tcW w:w="0" w:type="auto"/>
            <w:vMerge/>
            <w:vAlign w:val="center"/>
          </w:tcPr>
          <w:p w14:paraId="396D48B5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308B2531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51E8FAE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07AFFF8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0451E4">
              <w:rPr>
                <w:rFonts w:ascii="宋体" w:hAnsi="宋体"/>
                <w:sz w:val="24"/>
                <w:szCs w:val="24"/>
              </w:rPr>
              <w:t>具有中级专业技术职称的技术人员数</w:t>
            </w:r>
          </w:p>
        </w:tc>
        <w:tc>
          <w:tcPr>
            <w:tcW w:w="0" w:type="auto"/>
            <w:vAlign w:val="center"/>
          </w:tcPr>
          <w:p w14:paraId="69BAAD4D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451E4">
              <w:rPr>
                <w:rFonts w:ascii="Times New Roman" w:hAnsi="Times New Roman"/>
                <w:sz w:val="24"/>
                <w:szCs w:val="24"/>
              </w:rPr>
              <w:t>每有</w:t>
            </w:r>
            <w:r w:rsidRPr="000451E4">
              <w:rPr>
                <w:rFonts w:ascii="Times New Roman" w:hAnsi="Times New Roman"/>
                <w:sz w:val="24"/>
                <w:szCs w:val="24"/>
              </w:rPr>
              <w:t>1</w:t>
            </w:r>
            <w:r w:rsidRPr="000451E4">
              <w:rPr>
                <w:rFonts w:ascii="Times New Roman" w:hAnsi="Times New Roman"/>
                <w:sz w:val="24"/>
                <w:szCs w:val="24"/>
              </w:rPr>
              <w:t>人加</w:t>
            </w:r>
            <w:r w:rsidRPr="000451E4">
              <w:rPr>
                <w:rFonts w:ascii="Times New Roman" w:hAnsi="Times New Roman"/>
                <w:sz w:val="24"/>
                <w:szCs w:val="24"/>
              </w:rPr>
              <w:t>2</w:t>
            </w:r>
            <w:r w:rsidRPr="000451E4">
              <w:rPr>
                <w:rFonts w:ascii="Times New Roman" w:hAnsi="Times New Roman"/>
                <w:sz w:val="24"/>
                <w:szCs w:val="24"/>
              </w:rPr>
              <w:t>分</w:t>
            </w:r>
          </w:p>
        </w:tc>
        <w:tc>
          <w:tcPr>
            <w:tcW w:w="0" w:type="auto"/>
            <w:vMerge/>
            <w:vAlign w:val="center"/>
          </w:tcPr>
          <w:p w14:paraId="39974581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7B523A3B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C90D781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7BA84341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451E4" w:rsidRPr="000451E4" w14:paraId="15415C84" w14:textId="77777777" w:rsidTr="00113A4E">
        <w:trPr>
          <w:trHeight w:val="455"/>
          <w:jc w:val="center"/>
        </w:trPr>
        <w:tc>
          <w:tcPr>
            <w:tcW w:w="0" w:type="auto"/>
            <w:vMerge/>
            <w:vAlign w:val="center"/>
          </w:tcPr>
          <w:p w14:paraId="2104BC9B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DC45AAE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00D7986C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9FF22E0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0451E4">
              <w:rPr>
                <w:rFonts w:ascii="宋体" w:hAnsi="宋体"/>
                <w:sz w:val="24"/>
                <w:szCs w:val="24"/>
              </w:rPr>
              <w:t>具有初级专业技术职称的技术人员数</w:t>
            </w:r>
          </w:p>
        </w:tc>
        <w:tc>
          <w:tcPr>
            <w:tcW w:w="0" w:type="auto"/>
            <w:vAlign w:val="center"/>
          </w:tcPr>
          <w:p w14:paraId="7BE9DBB1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1E4">
              <w:rPr>
                <w:rFonts w:ascii="Times New Roman" w:hAnsi="Times New Roman"/>
                <w:sz w:val="24"/>
                <w:szCs w:val="24"/>
              </w:rPr>
              <w:t>每有</w:t>
            </w:r>
            <w:r w:rsidRPr="000451E4">
              <w:rPr>
                <w:rFonts w:ascii="Times New Roman" w:hAnsi="Times New Roman"/>
                <w:sz w:val="24"/>
                <w:szCs w:val="24"/>
              </w:rPr>
              <w:t>1</w:t>
            </w:r>
            <w:r w:rsidRPr="000451E4">
              <w:rPr>
                <w:rFonts w:ascii="Times New Roman" w:hAnsi="Times New Roman"/>
                <w:sz w:val="24"/>
                <w:szCs w:val="24"/>
              </w:rPr>
              <w:t>人加</w:t>
            </w:r>
            <w:r w:rsidRPr="000451E4">
              <w:rPr>
                <w:rFonts w:ascii="Times New Roman" w:hAnsi="Times New Roman"/>
                <w:sz w:val="24"/>
                <w:szCs w:val="24"/>
              </w:rPr>
              <w:t>1</w:t>
            </w:r>
            <w:r w:rsidRPr="000451E4">
              <w:rPr>
                <w:rFonts w:ascii="Times New Roman" w:hAnsi="Times New Roman"/>
                <w:sz w:val="24"/>
                <w:szCs w:val="24"/>
              </w:rPr>
              <w:t>分</w:t>
            </w:r>
          </w:p>
        </w:tc>
        <w:tc>
          <w:tcPr>
            <w:tcW w:w="0" w:type="auto"/>
            <w:vMerge/>
            <w:vAlign w:val="center"/>
          </w:tcPr>
          <w:p w14:paraId="559E0551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2A3EE38C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9AC33A5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E462D36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451E4" w:rsidRPr="000451E4" w14:paraId="57D3D5E0" w14:textId="77777777" w:rsidTr="000451E4">
        <w:trPr>
          <w:trHeight w:val="366"/>
          <w:jc w:val="center"/>
        </w:trPr>
        <w:tc>
          <w:tcPr>
            <w:tcW w:w="0" w:type="auto"/>
            <w:vMerge/>
            <w:vAlign w:val="center"/>
          </w:tcPr>
          <w:p w14:paraId="0786FD03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0A51363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7E598C1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0451E4">
              <w:rPr>
                <w:rFonts w:ascii="宋体" w:hAnsi="宋体"/>
                <w:sz w:val="24"/>
                <w:szCs w:val="24"/>
              </w:rPr>
              <w:t>专业要求</w:t>
            </w:r>
          </w:p>
        </w:tc>
        <w:tc>
          <w:tcPr>
            <w:tcW w:w="0" w:type="auto"/>
            <w:vAlign w:val="center"/>
          </w:tcPr>
          <w:p w14:paraId="7E21EB24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0451E4">
              <w:rPr>
                <w:rFonts w:ascii="宋体" w:hAnsi="宋体"/>
                <w:sz w:val="24"/>
                <w:szCs w:val="24"/>
              </w:rPr>
              <w:t>具有水文、水资源及相关专业学历的技术人员数</w:t>
            </w:r>
          </w:p>
        </w:tc>
        <w:tc>
          <w:tcPr>
            <w:tcW w:w="0" w:type="auto"/>
            <w:vAlign w:val="center"/>
          </w:tcPr>
          <w:p w14:paraId="7646CBC5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451E4">
              <w:rPr>
                <w:rFonts w:ascii="Times New Roman" w:hAnsi="Times New Roman"/>
                <w:sz w:val="24"/>
                <w:szCs w:val="24"/>
              </w:rPr>
              <w:t>每有</w:t>
            </w:r>
            <w:r w:rsidRPr="000451E4">
              <w:rPr>
                <w:rFonts w:ascii="Times New Roman" w:hAnsi="Times New Roman"/>
                <w:sz w:val="24"/>
                <w:szCs w:val="24"/>
              </w:rPr>
              <w:t>1</w:t>
            </w:r>
            <w:r w:rsidRPr="000451E4">
              <w:rPr>
                <w:rFonts w:ascii="Times New Roman" w:hAnsi="Times New Roman"/>
                <w:sz w:val="24"/>
                <w:szCs w:val="24"/>
              </w:rPr>
              <w:t>人加</w:t>
            </w:r>
            <w:r w:rsidRPr="000451E4">
              <w:rPr>
                <w:rFonts w:ascii="Times New Roman" w:hAnsi="Times New Roman"/>
                <w:sz w:val="24"/>
                <w:szCs w:val="24"/>
              </w:rPr>
              <w:t>2</w:t>
            </w:r>
            <w:r w:rsidRPr="000451E4">
              <w:rPr>
                <w:rFonts w:ascii="Times New Roman" w:hAnsi="Times New Roman"/>
                <w:sz w:val="24"/>
                <w:szCs w:val="24"/>
              </w:rPr>
              <w:t>分</w:t>
            </w:r>
          </w:p>
        </w:tc>
        <w:tc>
          <w:tcPr>
            <w:tcW w:w="0" w:type="auto"/>
            <w:vMerge/>
            <w:vAlign w:val="center"/>
          </w:tcPr>
          <w:p w14:paraId="150442F9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5F8A0E6A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E57EF0B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E7A6079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451E4" w:rsidRPr="000451E4" w14:paraId="50DEEF5E" w14:textId="77777777" w:rsidTr="00395C4B">
        <w:trPr>
          <w:trHeight w:val="857"/>
          <w:jc w:val="center"/>
        </w:trPr>
        <w:tc>
          <w:tcPr>
            <w:tcW w:w="0" w:type="auto"/>
            <w:vMerge/>
            <w:vAlign w:val="center"/>
          </w:tcPr>
          <w:p w14:paraId="74C0DCFF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25EB0EAF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59F26B7" w14:textId="77777777" w:rsidR="000451E4" w:rsidRPr="000451E4" w:rsidRDefault="000451E4" w:rsidP="00113A4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0451E4">
              <w:rPr>
                <w:rFonts w:ascii="宋体" w:hAnsi="宋体"/>
                <w:sz w:val="24"/>
                <w:szCs w:val="24"/>
              </w:rPr>
              <w:t>相关仪</w:t>
            </w:r>
          </w:p>
          <w:p w14:paraId="059D1DD7" w14:textId="77777777" w:rsidR="000451E4" w:rsidRPr="000451E4" w:rsidRDefault="000451E4" w:rsidP="00113A4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0451E4">
              <w:rPr>
                <w:rFonts w:ascii="宋体" w:hAnsi="宋体"/>
                <w:sz w:val="24"/>
                <w:szCs w:val="24"/>
              </w:rPr>
              <w:t>器设备</w:t>
            </w:r>
          </w:p>
        </w:tc>
        <w:tc>
          <w:tcPr>
            <w:tcW w:w="0" w:type="auto"/>
            <w:vAlign w:val="center"/>
          </w:tcPr>
          <w:p w14:paraId="778E6F09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0451E4">
              <w:rPr>
                <w:rFonts w:ascii="宋体" w:hAnsi="宋体"/>
                <w:color w:val="292B2C"/>
                <w:sz w:val="24"/>
                <w:szCs w:val="24"/>
                <w:shd w:val="clear" w:color="auto" w:fill="FFFFFF"/>
              </w:rPr>
              <w:t>配备与水文、水资源调查评价业务范围相适应的专业设施、仪器设备和必要的软件（最多提供20项）</w:t>
            </w:r>
          </w:p>
        </w:tc>
        <w:tc>
          <w:tcPr>
            <w:tcW w:w="0" w:type="auto"/>
            <w:vAlign w:val="center"/>
          </w:tcPr>
          <w:p w14:paraId="2E46935F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451E4">
              <w:rPr>
                <w:rFonts w:ascii="Times New Roman" w:hAnsi="Times New Roman"/>
                <w:sz w:val="24"/>
                <w:szCs w:val="24"/>
              </w:rPr>
              <w:t>每有</w:t>
            </w:r>
            <w:r w:rsidRPr="000451E4">
              <w:rPr>
                <w:rFonts w:ascii="Times New Roman" w:hAnsi="Times New Roman"/>
                <w:sz w:val="24"/>
                <w:szCs w:val="24"/>
              </w:rPr>
              <w:t>1</w:t>
            </w:r>
            <w:r w:rsidRPr="000451E4">
              <w:rPr>
                <w:rFonts w:ascii="Times New Roman" w:hAnsi="Times New Roman"/>
                <w:sz w:val="24"/>
                <w:szCs w:val="24"/>
              </w:rPr>
              <w:t>台（套）加</w:t>
            </w:r>
            <w:r w:rsidRPr="000451E4">
              <w:rPr>
                <w:rFonts w:ascii="Times New Roman" w:hAnsi="Times New Roman"/>
                <w:sz w:val="24"/>
                <w:szCs w:val="24"/>
              </w:rPr>
              <w:t>2</w:t>
            </w:r>
            <w:r w:rsidRPr="000451E4">
              <w:rPr>
                <w:rFonts w:ascii="Times New Roman" w:hAnsi="Times New Roman"/>
                <w:sz w:val="24"/>
                <w:szCs w:val="24"/>
              </w:rPr>
              <w:t>分</w:t>
            </w:r>
          </w:p>
        </w:tc>
        <w:tc>
          <w:tcPr>
            <w:tcW w:w="0" w:type="auto"/>
            <w:vMerge/>
            <w:vAlign w:val="center"/>
          </w:tcPr>
          <w:p w14:paraId="64907AF3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5C9BB82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772B2E09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E91F7DE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451E4" w:rsidRPr="000451E4" w14:paraId="4445ABE6" w14:textId="77777777" w:rsidTr="00113A4E">
        <w:trPr>
          <w:trHeight w:val="282"/>
          <w:jc w:val="center"/>
        </w:trPr>
        <w:tc>
          <w:tcPr>
            <w:tcW w:w="0" w:type="auto"/>
            <w:vMerge w:val="restart"/>
            <w:vAlign w:val="center"/>
          </w:tcPr>
          <w:p w14:paraId="1391BC52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451E4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  <w:vAlign w:val="center"/>
          </w:tcPr>
          <w:p w14:paraId="58F26117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0451E4">
              <w:rPr>
                <w:rFonts w:ascii="宋体" w:hAnsi="宋体"/>
                <w:sz w:val="24"/>
                <w:szCs w:val="24"/>
              </w:rPr>
              <w:t>单位业绩</w:t>
            </w:r>
          </w:p>
          <w:p w14:paraId="65839E3F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0451E4">
              <w:rPr>
                <w:rFonts w:ascii="宋体" w:hAnsi="宋体"/>
                <w:sz w:val="24"/>
                <w:szCs w:val="24"/>
              </w:rPr>
              <w:t>（近2年内）</w:t>
            </w:r>
          </w:p>
        </w:tc>
        <w:tc>
          <w:tcPr>
            <w:tcW w:w="0" w:type="auto"/>
            <w:gridSpan w:val="2"/>
            <w:vAlign w:val="center"/>
          </w:tcPr>
          <w:p w14:paraId="055AD080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0451E4">
              <w:rPr>
                <w:rFonts w:ascii="宋体" w:hAnsi="宋体"/>
                <w:sz w:val="24"/>
                <w:szCs w:val="24"/>
              </w:rPr>
              <w:t>通过省级或流域机构业务主管部门</w:t>
            </w:r>
            <w:r w:rsidRPr="000451E4">
              <w:rPr>
                <w:rFonts w:ascii="宋体" w:hAnsi="宋体"/>
                <w:color w:val="292B2C"/>
                <w:sz w:val="24"/>
                <w:szCs w:val="24"/>
                <w:shd w:val="clear" w:color="auto" w:fill="FFFFFF"/>
              </w:rPr>
              <w:t>评审</w:t>
            </w:r>
            <w:r w:rsidRPr="000451E4">
              <w:rPr>
                <w:rFonts w:ascii="宋体" w:hAnsi="宋体"/>
                <w:sz w:val="24"/>
                <w:szCs w:val="24"/>
              </w:rPr>
              <w:t>的水文、水资源调查评价或相关业绩（以专家评审意见或政府批复意见为准）</w:t>
            </w:r>
          </w:p>
        </w:tc>
        <w:tc>
          <w:tcPr>
            <w:tcW w:w="0" w:type="auto"/>
            <w:vAlign w:val="center"/>
          </w:tcPr>
          <w:p w14:paraId="07FD6A69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451E4">
              <w:rPr>
                <w:rFonts w:ascii="Times New Roman" w:eastAsiaTheme="minorEastAsia" w:hAnsi="Times New Roman"/>
                <w:sz w:val="24"/>
                <w:szCs w:val="24"/>
              </w:rPr>
              <w:t>每有</w:t>
            </w:r>
            <w:r w:rsidRPr="000451E4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  <w:r w:rsidRPr="000451E4">
              <w:rPr>
                <w:rFonts w:ascii="Times New Roman" w:eastAsiaTheme="minorEastAsia" w:hAnsi="Times New Roman"/>
                <w:sz w:val="24"/>
                <w:szCs w:val="24"/>
              </w:rPr>
              <w:t>项加</w:t>
            </w:r>
            <w:r w:rsidRPr="000451E4"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  <w:r w:rsidRPr="000451E4">
              <w:rPr>
                <w:rFonts w:ascii="Times New Roman" w:eastAsiaTheme="minorEastAsia" w:hAnsi="Times New Roman"/>
                <w:sz w:val="24"/>
                <w:szCs w:val="24"/>
              </w:rPr>
              <w:t>分</w:t>
            </w:r>
          </w:p>
        </w:tc>
        <w:tc>
          <w:tcPr>
            <w:tcW w:w="0" w:type="auto"/>
            <w:vMerge w:val="restart"/>
            <w:vAlign w:val="center"/>
          </w:tcPr>
          <w:p w14:paraId="1FE8028E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451E4"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Merge w:val="restart"/>
            <w:vAlign w:val="center"/>
          </w:tcPr>
          <w:p w14:paraId="22B6D535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451E4">
              <w:rPr>
                <w:rFonts w:ascii="Times New Roman" w:eastAsiaTheme="minorEastAsia" w:hAnsi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vMerge w:val="restart"/>
            <w:vAlign w:val="center"/>
          </w:tcPr>
          <w:p w14:paraId="5B1E2101" w14:textId="101EC804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2DE4F988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451E4" w:rsidRPr="000451E4" w14:paraId="504A3752" w14:textId="77777777" w:rsidTr="00113A4E">
        <w:trPr>
          <w:trHeight w:val="282"/>
          <w:jc w:val="center"/>
        </w:trPr>
        <w:tc>
          <w:tcPr>
            <w:tcW w:w="0" w:type="auto"/>
            <w:vMerge/>
            <w:vAlign w:val="center"/>
          </w:tcPr>
          <w:p w14:paraId="3FE07A0F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21B773AF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15DDB913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0451E4">
              <w:rPr>
                <w:rFonts w:ascii="宋体" w:hAnsi="宋体"/>
                <w:sz w:val="24"/>
                <w:szCs w:val="24"/>
              </w:rPr>
              <w:t>通过</w:t>
            </w:r>
            <w:r w:rsidRPr="000451E4">
              <w:rPr>
                <w:rFonts w:ascii="宋体" w:hAnsi="宋体"/>
                <w:color w:val="292B2C"/>
                <w:sz w:val="24"/>
                <w:szCs w:val="24"/>
                <w:shd w:val="clear" w:color="auto" w:fill="FFFFFF"/>
              </w:rPr>
              <w:t>市级业务主管部门评审</w:t>
            </w:r>
            <w:r w:rsidRPr="000451E4">
              <w:rPr>
                <w:rFonts w:ascii="宋体" w:hAnsi="宋体"/>
                <w:sz w:val="24"/>
                <w:szCs w:val="24"/>
              </w:rPr>
              <w:t>的水文、水资源调查评价或相关业绩</w:t>
            </w:r>
          </w:p>
          <w:p w14:paraId="7611BFBA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0451E4">
              <w:rPr>
                <w:rFonts w:ascii="宋体" w:hAnsi="宋体"/>
                <w:sz w:val="24"/>
                <w:szCs w:val="24"/>
              </w:rPr>
              <w:t>（以专家评审意见或政府批复意见为准）</w:t>
            </w:r>
          </w:p>
        </w:tc>
        <w:tc>
          <w:tcPr>
            <w:tcW w:w="0" w:type="auto"/>
            <w:vAlign w:val="center"/>
          </w:tcPr>
          <w:p w14:paraId="21F53AC2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451E4">
              <w:rPr>
                <w:rFonts w:ascii="Times New Roman" w:eastAsiaTheme="minorEastAsia" w:hAnsi="Times New Roman"/>
                <w:sz w:val="24"/>
                <w:szCs w:val="24"/>
              </w:rPr>
              <w:t>每有</w:t>
            </w:r>
            <w:r w:rsidRPr="000451E4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  <w:r w:rsidRPr="000451E4">
              <w:rPr>
                <w:rFonts w:ascii="Times New Roman" w:eastAsiaTheme="minorEastAsia" w:hAnsi="Times New Roman"/>
                <w:sz w:val="24"/>
                <w:szCs w:val="24"/>
              </w:rPr>
              <w:t>项加</w:t>
            </w:r>
            <w:r w:rsidRPr="000451E4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  <w:r w:rsidRPr="000451E4">
              <w:rPr>
                <w:rFonts w:ascii="Times New Roman" w:eastAsiaTheme="minorEastAsia" w:hAnsi="Times New Roman"/>
                <w:sz w:val="24"/>
                <w:szCs w:val="24"/>
              </w:rPr>
              <w:t>分</w:t>
            </w:r>
          </w:p>
        </w:tc>
        <w:tc>
          <w:tcPr>
            <w:tcW w:w="0" w:type="auto"/>
            <w:vMerge/>
            <w:vAlign w:val="center"/>
          </w:tcPr>
          <w:p w14:paraId="57DBE570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29FDE609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0C6EB3C6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0DF377DE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451E4" w:rsidRPr="000451E4" w14:paraId="1519A9EB" w14:textId="77777777" w:rsidTr="00113A4E">
        <w:trPr>
          <w:trHeight w:val="207"/>
          <w:jc w:val="center"/>
        </w:trPr>
        <w:tc>
          <w:tcPr>
            <w:tcW w:w="0" w:type="auto"/>
            <w:vMerge/>
            <w:vAlign w:val="center"/>
          </w:tcPr>
          <w:p w14:paraId="4A391D0E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0C1C7AE1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3BA2C695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0451E4">
              <w:rPr>
                <w:rFonts w:ascii="宋体" w:hAnsi="宋体"/>
                <w:sz w:val="24"/>
                <w:szCs w:val="24"/>
              </w:rPr>
              <w:t>通过县级</w:t>
            </w:r>
            <w:r w:rsidRPr="000451E4">
              <w:rPr>
                <w:rFonts w:ascii="宋体" w:hAnsi="宋体"/>
                <w:color w:val="292B2C"/>
                <w:sz w:val="24"/>
                <w:szCs w:val="24"/>
                <w:shd w:val="clear" w:color="auto" w:fill="FFFFFF"/>
              </w:rPr>
              <w:t>业务主管部门评审</w:t>
            </w:r>
            <w:r w:rsidRPr="000451E4">
              <w:rPr>
                <w:rFonts w:ascii="宋体" w:hAnsi="宋体"/>
                <w:sz w:val="24"/>
                <w:szCs w:val="24"/>
              </w:rPr>
              <w:t>的水文、水资源调查评价或相关业绩</w:t>
            </w:r>
          </w:p>
          <w:p w14:paraId="6EA9087C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0451E4">
              <w:rPr>
                <w:rFonts w:ascii="宋体" w:hAnsi="宋体"/>
                <w:sz w:val="24"/>
                <w:szCs w:val="24"/>
              </w:rPr>
              <w:t>（以专家评审意见或政府批复意见为准）</w:t>
            </w:r>
          </w:p>
        </w:tc>
        <w:tc>
          <w:tcPr>
            <w:tcW w:w="0" w:type="auto"/>
            <w:vAlign w:val="center"/>
          </w:tcPr>
          <w:p w14:paraId="65B76C63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451E4">
              <w:rPr>
                <w:rFonts w:ascii="Times New Roman" w:eastAsiaTheme="minorEastAsia" w:hAnsi="Times New Roman"/>
                <w:sz w:val="24"/>
                <w:szCs w:val="24"/>
              </w:rPr>
              <w:t>每有</w:t>
            </w:r>
            <w:r w:rsidRPr="000451E4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  <w:r w:rsidRPr="000451E4">
              <w:rPr>
                <w:rFonts w:ascii="Times New Roman" w:eastAsiaTheme="minorEastAsia" w:hAnsi="Times New Roman"/>
                <w:sz w:val="24"/>
                <w:szCs w:val="24"/>
              </w:rPr>
              <w:t>项加</w:t>
            </w:r>
            <w:r w:rsidRPr="000451E4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  <w:r w:rsidRPr="000451E4">
              <w:rPr>
                <w:rFonts w:ascii="Times New Roman" w:eastAsiaTheme="minorEastAsia" w:hAnsi="Times New Roman"/>
                <w:sz w:val="24"/>
                <w:szCs w:val="24"/>
              </w:rPr>
              <w:t>分</w:t>
            </w:r>
          </w:p>
        </w:tc>
        <w:tc>
          <w:tcPr>
            <w:tcW w:w="0" w:type="auto"/>
            <w:vMerge/>
            <w:vAlign w:val="center"/>
          </w:tcPr>
          <w:p w14:paraId="48C60F2B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7140D277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5ED70402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79C1A667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451E4" w:rsidRPr="000451E4" w14:paraId="318C4248" w14:textId="77777777" w:rsidTr="00113A4E">
        <w:trPr>
          <w:trHeight w:val="402"/>
          <w:jc w:val="center"/>
        </w:trPr>
        <w:tc>
          <w:tcPr>
            <w:tcW w:w="0" w:type="auto"/>
            <w:vMerge w:val="restart"/>
            <w:vAlign w:val="center"/>
          </w:tcPr>
          <w:p w14:paraId="14985073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451E4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Merge w:val="restart"/>
            <w:vAlign w:val="center"/>
          </w:tcPr>
          <w:p w14:paraId="32530878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0451E4">
              <w:rPr>
                <w:rFonts w:ascii="宋体" w:hAnsi="宋体"/>
                <w:sz w:val="24"/>
                <w:szCs w:val="24"/>
              </w:rPr>
              <w:t>协会活动</w:t>
            </w:r>
          </w:p>
        </w:tc>
        <w:tc>
          <w:tcPr>
            <w:tcW w:w="0" w:type="auto"/>
            <w:gridSpan w:val="2"/>
            <w:vAlign w:val="center"/>
          </w:tcPr>
          <w:p w14:paraId="3678C261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0451E4">
              <w:rPr>
                <w:rFonts w:ascii="宋体" w:hAnsi="宋体"/>
                <w:sz w:val="24"/>
                <w:szCs w:val="24"/>
              </w:rPr>
              <w:t>入会年限（以缴纳年度会费为准）</w:t>
            </w:r>
          </w:p>
        </w:tc>
        <w:tc>
          <w:tcPr>
            <w:tcW w:w="0" w:type="auto"/>
            <w:vAlign w:val="center"/>
          </w:tcPr>
          <w:p w14:paraId="51C5D476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1E4">
              <w:rPr>
                <w:rFonts w:ascii="Times New Roman" w:hAnsi="Times New Roman"/>
                <w:sz w:val="24"/>
                <w:szCs w:val="24"/>
              </w:rPr>
              <w:t>每有</w:t>
            </w:r>
            <w:r w:rsidRPr="000451E4">
              <w:rPr>
                <w:rFonts w:ascii="Times New Roman" w:hAnsi="Times New Roman"/>
                <w:sz w:val="24"/>
                <w:szCs w:val="24"/>
              </w:rPr>
              <w:t>1</w:t>
            </w:r>
            <w:r w:rsidRPr="000451E4">
              <w:rPr>
                <w:rFonts w:ascii="Times New Roman" w:hAnsi="Times New Roman"/>
                <w:sz w:val="24"/>
                <w:szCs w:val="24"/>
              </w:rPr>
              <w:t>年加</w:t>
            </w:r>
            <w:r w:rsidRPr="000451E4">
              <w:rPr>
                <w:rFonts w:ascii="Times New Roman" w:hAnsi="Times New Roman"/>
                <w:sz w:val="24"/>
                <w:szCs w:val="24"/>
              </w:rPr>
              <w:t>5</w:t>
            </w:r>
            <w:r w:rsidRPr="000451E4">
              <w:rPr>
                <w:rFonts w:ascii="Times New Roman" w:hAnsi="Times New Roman"/>
                <w:sz w:val="24"/>
                <w:szCs w:val="24"/>
              </w:rPr>
              <w:t>分</w:t>
            </w:r>
          </w:p>
        </w:tc>
        <w:tc>
          <w:tcPr>
            <w:tcW w:w="0" w:type="auto"/>
            <w:vMerge w:val="restart"/>
            <w:vAlign w:val="center"/>
          </w:tcPr>
          <w:p w14:paraId="2D7488D0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451E4"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vMerge w:val="restart"/>
            <w:vAlign w:val="center"/>
          </w:tcPr>
          <w:p w14:paraId="6AB15426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451E4">
              <w:rPr>
                <w:rFonts w:ascii="Times New Roman" w:eastAsiaTheme="minorEastAsia" w:hAnsi="Times New Roman" w:hint="eastAsia"/>
                <w:sz w:val="24"/>
                <w:szCs w:val="24"/>
              </w:rPr>
              <w:t>0.5</w:t>
            </w:r>
          </w:p>
        </w:tc>
        <w:tc>
          <w:tcPr>
            <w:tcW w:w="0" w:type="auto"/>
            <w:vMerge w:val="restart"/>
            <w:vAlign w:val="center"/>
          </w:tcPr>
          <w:p w14:paraId="2FF625AD" w14:textId="07EC086A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11101898" w14:textId="43450EA1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451E4" w:rsidRPr="000451E4" w14:paraId="107DA8A2" w14:textId="77777777" w:rsidTr="00113A4E">
        <w:trPr>
          <w:trHeight w:val="213"/>
          <w:jc w:val="center"/>
        </w:trPr>
        <w:tc>
          <w:tcPr>
            <w:tcW w:w="0" w:type="auto"/>
            <w:vMerge/>
            <w:vAlign w:val="center"/>
          </w:tcPr>
          <w:p w14:paraId="6CD78D6F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2459CDE4" w14:textId="77777777" w:rsidR="000451E4" w:rsidRPr="000451E4" w:rsidRDefault="000451E4" w:rsidP="00113A4E">
            <w:pPr>
              <w:autoSpaceDE w:val="0"/>
              <w:autoSpaceDN w:val="0"/>
              <w:adjustRightInd w:val="0"/>
              <w:snapToGrid w:val="0"/>
              <w:ind w:right="278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243C7354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0451E4">
              <w:rPr>
                <w:rFonts w:ascii="宋体" w:hAnsi="宋体"/>
                <w:sz w:val="24"/>
                <w:szCs w:val="24"/>
              </w:rPr>
              <w:t>一个评价周期内（2年）参与协会活动的人次</w:t>
            </w:r>
          </w:p>
        </w:tc>
        <w:tc>
          <w:tcPr>
            <w:tcW w:w="0" w:type="auto"/>
            <w:vAlign w:val="center"/>
          </w:tcPr>
          <w:p w14:paraId="3E212CA4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1E4">
              <w:rPr>
                <w:rFonts w:ascii="Times New Roman" w:hAnsi="Times New Roman"/>
                <w:sz w:val="24"/>
                <w:szCs w:val="24"/>
              </w:rPr>
              <w:t>每有</w:t>
            </w:r>
            <w:r w:rsidRPr="000451E4">
              <w:rPr>
                <w:rFonts w:ascii="Times New Roman" w:hAnsi="Times New Roman"/>
                <w:sz w:val="24"/>
                <w:szCs w:val="24"/>
              </w:rPr>
              <w:t>1</w:t>
            </w:r>
            <w:r w:rsidRPr="000451E4">
              <w:rPr>
                <w:rFonts w:ascii="Times New Roman" w:hAnsi="Times New Roman"/>
                <w:sz w:val="24"/>
                <w:szCs w:val="24"/>
              </w:rPr>
              <w:t>人次加</w:t>
            </w:r>
            <w:r w:rsidRPr="000451E4">
              <w:rPr>
                <w:rFonts w:ascii="Times New Roman" w:hAnsi="Times New Roman"/>
                <w:sz w:val="24"/>
                <w:szCs w:val="24"/>
              </w:rPr>
              <w:t>5</w:t>
            </w:r>
            <w:r w:rsidRPr="000451E4">
              <w:rPr>
                <w:rFonts w:ascii="Times New Roman" w:hAnsi="Times New Roman"/>
                <w:sz w:val="24"/>
                <w:szCs w:val="24"/>
              </w:rPr>
              <w:t>分</w:t>
            </w:r>
          </w:p>
        </w:tc>
        <w:tc>
          <w:tcPr>
            <w:tcW w:w="0" w:type="auto"/>
            <w:vMerge/>
            <w:vAlign w:val="center"/>
          </w:tcPr>
          <w:p w14:paraId="19BA623A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E570BF6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0C729B63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23BFCF3A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451E4" w:rsidRPr="000451E4" w14:paraId="1532906F" w14:textId="77777777" w:rsidTr="00113A4E">
        <w:trPr>
          <w:trHeight w:val="168"/>
          <w:jc w:val="center"/>
        </w:trPr>
        <w:tc>
          <w:tcPr>
            <w:tcW w:w="0" w:type="auto"/>
            <w:vMerge/>
            <w:vAlign w:val="center"/>
          </w:tcPr>
          <w:p w14:paraId="3FBB0A0C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057D34DF" w14:textId="77777777" w:rsidR="000451E4" w:rsidRPr="000451E4" w:rsidRDefault="000451E4" w:rsidP="00113A4E">
            <w:pPr>
              <w:autoSpaceDE w:val="0"/>
              <w:autoSpaceDN w:val="0"/>
              <w:adjustRightInd w:val="0"/>
              <w:ind w:right="28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2F61FF91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0451E4">
              <w:rPr>
                <w:rFonts w:ascii="宋体" w:hAnsi="宋体"/>
                <w:sz w:val="24"/>
                <w:szCs w:val="24"/>
              </w:rPr>
              <w:t>作为协作单位配合支持协会举办相关活动的次数</w:t>
            </w:r>
          </w:p>
        </w:tc>
        <w:tc>
          <w:tcPr>
            <w:tcW w:w="0" w:type="auto"/>
            <w:vAlign w:val="center"/>
          </w:tcPr>
          <w:p w14:paraId="5D962C20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1E4">
              <w:rPr>
                <w:rFonts w:ascii="Times New Roman" w:hAnsi="Times New Roman"/>
                <w:sz w:val="24"/>
                <w:szCs w:val="24"/>
              </w:rPr>
              <w:t>每有</w:t>
            </w:r>
            <w:r w:rsidRPr="000451E4">
              <w:rPr>
                <w:rFonts w:ascii="Times New Roman" w:hAnsi="Times New Roman"/>
                <w:sz w:val="24"/>
                <w:szCs w:val="24"/>
              </w:rPr>
              <w:t>1</w:t>
            </w:r>
            <w:r w:rsidRPr="000451E4">
              <w:rPr>
                <w:rFonts w:ascii="Times New Roman" w:hAnsi="Times New Roman"/>
                <w:sz w:val="24"/>
                <w:szCs w:val="24"/>
              </w:rPr>
              <w:t>次加</w:t>
            </w:r>
            <w:r w:rsidRPr="000451E4">
              <w:rPr>
                <w:rFonts w:ascii="Times New Roman" w:hAnsi="Times New Roman"/>
                <w:sz w:val="24"/>
                <w:szCs w:val="24"/>
              </w:rPr>
              <w:t>10</w:t>
            </w:r>
            <w:r w:rsidRPr="000451E4">
              <w:rPr>
                <w:rFonts w:ascii="Times New Roman" w:hAnsi="Times New Roman"/>
                <w:sz w:val="24"/>
                <w:szCs w:val="24"/>
              </w:rPr>
              <w:t>分</w:t>
            </w:r>
          </w:p>
        </w:tc>
        <w:tc>
          <w:tcPr>
            <w:tcW w:w="0" w:type="auto"/>
            <w:vMerge/>
            <w:vAlign w:val="center"/>
          </w:tcPr>
          <w:p w14:paraId="6527A848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3D6FB822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01F7D25D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B4DDD61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451E4" w:rsidRPr="000451E4" w14:paraId="0D7A12F4" w14:textId="77777777" w:rsidTr="00113A4E">
        <w:trPr>
          <w:trHeight w:val="282"/>
          <w:jc w:val="center"/>
        </w:trPr>
        <w:tc>
          <w:tcPr>
            <w:tcW w:w="0" w:type="auto"/>
            <w:vMerge w:val="restart"/>
            <w:vAlign w:val="center"/>
          </w:tcPr>
          <w:p w14:paraId="4FDBB3A9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451E4"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Merge w:val="restart"/>
            <w:vAlign w:val="center"/>
          </w:tcPr>
          <w:p w14:paraId="3A884338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0451E4">
              <w:rPr>
                <w:rFonts w:ascii="宋体" w:hAnsi="宋体" w:hint="eastAsia"/>
                <w:sz w:val="24"/>
                <w:szCs w:val="24"/>
              </w:rPr>
              <w:t>社会信誉</w:t>
            </w:r>
            <w:r w:rsidRPr="000451E4">
              <w:rPr>
                <w:rFonts w:ascii="宋体" w:hAnsi="宋体"/>
                <w:sz w:val="24"/>
                <w:szCs w:val="24"/>
              </w:rPr>
              <w:t>（近2年内）</w:t>
            </w:r>
          </w:p>
        </w:tc>
        <w:tc>
          <w:tcPr>
            <w:tcW w:w="0" w:type="auto"/>
            <w:gridSpan w:val="2"/>
            <w:vAlign w:val="center"/>
          </w:tcPr>
          <w:p w14:paraId="1887999B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0451E4">
              <w:rPr>
                <w:rFonts w:ascii="宋体" w:hAnsi="宋体"/>
                <w:sz w:val="24"/>
                <w:szCs w:val="24"/>
              </w:rPr>
              <w:t>对服务对象严重失信</w:t>
            </w:r>
          </w:p>
        </w:tc>
        <w:tc>
          <w:tcPr>
            <w:tcW w:w="0" w:type="auto"/>
            <w:vAlign w:val="center"/>
          </w:tcPr>
          <w:p w14:paraId="251C961E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451E4">
              <w:rPr>
                <w:rFonts w:ascii="Times New Roman" w:eastAsiaTheme="minorEastAsia" w:hAnsi="Times New Roman"/>
                <w:sz w:val="24"/>
                <w:szCs w:val="24"/>
              </w:rPr>
              <w:t>一次减</w:t>
            </w:r>
            <w:r w:rsidRPr="000451E4"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  <w:r w:rsidRPr="000451E4">
              <w:rPr>
                <w:rFonts w:ascii="Times New Roman" w:eastAsiaTheme="minorEastAsia" w:hAnsi="Times New Roman"/>
                <w:sz w:val="24"/>
                <w:szCs w:val="24"/>
              </w:rPr>
              <w:t>分</w:t>
            </w:r>
          </w:p>
        </w:tc>
        <w:tc>
          <w:tcPr>
            <w:tcW w:w="0" w:type="auto"/>
            <w:vMerge w:val="restart"/>
            <w:vAlign w:val="center"/>
          </w:tcPr>
          <w:p w14:paraId="54B7C953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451E4">
              <w:rPr>
                <w:rFonts w:ascii="Times New Roman" w:eastAsiaTheme="minorEastAsia" w:hAnsi="Times New Roman"/>
                <w:sz w:val="24"/>
                <w:szCs w:val="24"/>
              </w:rPr>
              <w:t>-50</w:t>
            </w:r>
          </w:p>
        </w:tc>
        <w:tc>
          <w:tcPr>
            <w:tcW w:w="0" w:type="auto"/>
            <w:vMerge w:val="restart"/>
            <w:vAlign w:val="center"/>
          </w:tcPr>
          <w:p w14:paraId="29B3597C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451E4">
              <w:rPr>
                <w:rFonts w:ascii="Times New Roman" w:eastAsiaTheme="minorEastAsia" w:hAnsi="Times New Roman" w:hint="eastAsia"/>
                <w:sz w:val="24"/>
                <w:szCs w:val="24"/>
              </w:rPr>
              <w:t>0.5</w:t>
            </w:r>
          </w:p>
        </w:tc>
        <w:tc>
          <w:tcPr>
            <w:tcW w:w="0" w:type="auto"/>
            <w:vMerge w:val="restart"/>
            <w:vAlign w:val="center"/>
          </w:tcPr>
          <w:p w14:paraId="607CA5D7" w14:textId="050B7E83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28F30100" w14:textId="4B4F1606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451E4" w:rsidRPr="000451E4" w14:paraId="4D40D8BB" w14:textId="77777777" w:rsidTr="00395C4B">
        <w:trPr>
          <w:trHeight w:val="368"/>
          <w:jc w:val="center"/>
        </w:trPr>
        <w:tc>
          <w:tcPr>
            <w:tcW w:w="0" w:type="auto"/>
            <w:vMerge/>
            <w:vAlign w:val="center"/>
          </w:tcPr>
          <w:p w14:paraId="1F35C5BA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CEF350D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2FD334AD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0451E4">
              <w:rPr>
                <w:rFonts w:ascii="宋体" w:hAnsi="宋体"/>
                <w:sz w:val="24"/>
                <w:szCs w:val="24"/>
              </w:rPr>
              <w:t>成果弄虚作假</w:t>
            </w:r>
          </w:p>
        </w:tc>
        <w:tc>
          <w:tcPr>
            <w:tcW w:w="0" w:type="auto"/>
            <w:vAlign w:val="center"/>
          </w:tcPr>
          <w:p w14:paraId="54989B8D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451E4">
              <w:rPr>
                <w:rFonts w:ascii="Times New Roman" w:eastAsiaTheme="minorEastAsia" w:hAnsi="Times New Roman"/>
                <w:sz w:val="24"/>
                <w:szCs w:val="24"/>
              </w:rPr>
              <w:t>一次减</w:t>
            </w:r>
            <w:r w:rsidRPr="000451E4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  <w:r w:rsidRPr="000451E4">
              <w:rPr>
                <w:rFonts w:ascii="Times New Roman" w:eastAsiaTheme="minorEastAsia" w:hAnsi="Times New Roman" w:hint="eastAsia"/>
                <w:sz w:val="24"/>
                <w:szCs w:val="24"/>
              </w:rPr>
              <w:t>0</w:t>
            </w:r>
            <w:r w:rsidRPr="000451E4">
              <w:rPr>
                <w:rFonts w:ascii="Times New Roman" w:eastAsiaTheme="minorEastAsia" w:hAnsi="Times New Roman"/>
                <w:sz w:val="24"/>
                <w:szCs w:val="24"/>
              </w:rPr>
              <w:t>分</w:t>
            </w:r>
          </w:p>
        </w:tc>
        <w:tc>
          <w:tcPr>
            <w:tcW w:w="0" w:type="auto"/>
            <w:vMerge/>
            <w:vAlign w:val="center"/>
          </w:tcPr>
          <w:p w14:paraId="7D944DBB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3D76F326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75AC828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0BD67B9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451E4" w:rsidRPr="00395C4B" w14:paraId="285B8CDC" w14:textId="77777777" w:rsidTr="00395C4B">
        <w:trPr>
          <w:trHeight w:val="306"/>
          <w:jc w:val="center"/>
        </w:trPr>
        <w:tc>
          <w:tcPr>
            <w:tcW w:w="0" w:type="auto"/>
            <w:gridSpan w:val="2"/>
            <w:vAlign w:val="center"/>
          </w:tcPr>
          <w:p w14:paraId="4BC7646F" w14:textId="77777777" w:rsidR="000451E4" w:rsidRPr="00395C4B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395C4B">
              <w:rPr>
                <w:rFonts w:ascii="宋体" w:hAnsi="宋体"/>
                <w:sz w:val="24"/>
                <w:szCs w:val="24"/>
              </w:rPr>
              <w:t>总分值（分）</w:t>
            </w:r>
          </w:p>
        </w:tc>
        <w:tc>
          <w:tcPr>
            <w:tcW w:w="0" w:type="auto"/>
            <w:gridSpan w:val="7"/>
            <w:vAlign w:val="center"/>
          </w:tcPr>
          <w:p w14:paraId="3B64E2BF" w14:textId="25011D51" w:rsidR="000451E4" w:rsidRPr="00395C4B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0451E4" w:rsidRPr="000451E4" w14:paraId="38CDD675" w14:textId="77777777" w:rsidTr="00113A4E">
        <w:trPr>
          <w:trHeight w:val="3003"/>
          <w:jc w:val="center"/>
        </w:trPr>
        <w:tc>
          <w:tcPr>
            <w:tcW w:w="0" w:type="auto"/>
            <w:gridSpan w:val="2"/>
            <w:vAlign w:val="center"/>
          </w:tcPr>
          <w:p w14:paraId="5B3794BC" w14:textId="77777777" w:rsidR="000451E4" w:rsidRPr="000451E4" w:rsidRDefault="000451E4" w:rsidP="00113A4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0451E4">
              <w:rPr>
                <w:rFonts w:ascii="宋体" w:hAnsi="宋体"/>
                <w:sz w:val="24"/>
                <w:szCs w:val="24"/>
              </w:rPr>
              <w:t>备注</w:t>
            </w:r>
          </w:p>
        </w:tc>
        <w:tc>
          <w:tcPr>
            <w:tcW w:w="0" w:type="auto"/>
            <w:gridSpan w:val="7"/>
            <w:vAlign w:val="center"/>
          </w:tcPr>
          <w:p w14:paraId="7E51CEB4" w14:textId="77777777" w:rsidR="000451E4" w:rsidRPr="000451E4" w:rsidRDefault="000451E4" w:rsidP="00113A4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0451E4">
              <w:rPr>
                <w:rFonts w:ascii="宋体" w:hAnsi="宋体"/>
                <w:sz w:val="24"/>
                <w:szCs w:val="24"/>
              </w:rPr>
              <w:t>1）满足基本条件</w:t>
            </w:r>
            <w:r w:rsidRPr="000451E4">
              <w:rPr>
                <w:rFonts w:ascii="宋体" w:hAnsi="宋体" w:hint="eastAsia"/>
                <w:sz w:val="24"/>
                <w:szCs w:val="24"/>
              </w:rPr>
              <w:t>（办法第十条规定）</w:t>
            </w:r>
            <w:r w:rsidRPr="000451E4">
              <w:rPr>
                <w:rFonts w:ascii="宋体" w:hAnsi="宋体"/>
                <w:sz w:val="24"/>
                <w:szCs w:val="24"/>
              </w:rPr>
              <w:t>的申请单位，均赋予基础分20分，不满足基本条件的不予评价；</w:t>
            </w:r>
          </w:p>
          <w:p w14:paraId="2373CA80" w14:textId="77777777" w:rsidR="000451E4" w:rsidRPr="000451E4" w:rsidRDefault="000451E4" w:rsidP="00113A4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0451E4">
              <w:rPr>
                <w:rFonts w:ascii="宋体" w:hAnsi="宋体"/>
                <w:sz w:val="24"/>
                <w:szCs w:val="24"/>
              </w:rPr>
              <w:t>2）根据单位实力、</w:t>
            </w:r>
            <w:r w:rsidRPr="000451E4">
              <w:rPr>
                <w:rFonts w:ascii="宋体" w:hAnsi="宋体" w:hint="eastAsia"/>
                <w:sz w:val="24"/>
                <w:szCs w:val="24"/>
              </w:rPr>
              <w:t>单位</w:t>
            </w:r>
            <w:r w:rsidRPr="000451E4">
              <w:rPr>
                <w:rFonts w:ascii="宋体" w:hAnsi="宋体"/>
                <w:sz w:val="24"/>
                <w:szCs w:val="24"/>
              </w:rPr>
              <w:t>业绩在基础分上加分，加分值最高限制80分；</w:t>
            </w:r>
          </w:p>
          <w:p w14:paraId="2C2C54C3" w14:textId="77777777" w:rsidR="000451E4" w:rsidRPr="000451E4" w:rsidRDefault="000451E4" w:rsidP="00113A4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0451E4">
              <w:rPr>
                <w:rFonts w:ascii="宋体" w:hAnsi="宋体" w:hint="eastAsia"/>
                <w:sz w:val="24"/>
                <w:szCs w:val="24"/>
              </w:rPr>
              <w:t>3）对</w:t>
            </w:r>
            <w:r w:rsidRPr="000451E4">
              <w:rPr>
                <w:rFonts w:ascii="宋体" w:hAnsi="宋体"/>
                <w:sz w:val="24"/>
                <w:szCs w:val="24"/>
              </w:rPr>
              <w:t>积极参与协会活动的单位加分</w:t>
            </w:r>
            <w:r w:rsidRPr="000451E4">
              <w:rPr>
                <w:rFonts w:ascii="宋体" w:hAnsi="宋体" w:hint="eastAsia"/>
                <w:sz w:val="24"/>
                <w:szCs w:val="24"/>
              </w:rPr>
              <w:t>，</w:t>
            </w:r>
            <w:r w:rsidRPr="000451E4">
              <w:rPr>
                <w:rFonts w:ascii="宋体" w:hAnsi="宋体"/>
                <w:sz w:val="24"/>
                <w:szCs w:val="24"/>
              </w:rPr>
              <w:t>加分最高限制</w:t>
            </w:r>
            <w:r w:rsidRPr="000451E4">
              <w:rPr>
                <w:rFonts w:ascii="宋体" w:hAnsi="宋体" w:hint="eastAsia"/>
                <w:sz w:val="24"/>
                <w:szCs w:val="24"/>
              </w:rPr>
              <w:t>25分；</w:t>
            </w:r>
          </w:p>
          <w:p w14:paraId="3BBC8286" w14:textId="77777777" w:rsidR="000451E4" w:rsidRPr="000451E4" w:rsidRDefault="000451E4" w:rsidP="00113A4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0451E4">
              <w:rPr>
                <w:rFonts w:ascii="宋体" w:hAnsi="宋体"/>
                <w:sz w:val="24"/>
                <w:szCs w:val="24"/>
              </w:rPr>
              <w:t>3）对存在不良行为的单位减分，减分最高限制-</w:t>
            </w:r>
            <w:r w:rsidRPr="000451E4">
              <w:rPr>
                <w:rFonts w:ascii="宋体" w:hAnsi="宋体" w:hint="eastAsia"/>
                <w:sz w:val="24"/>
                <w:szCs w:val="24"/>
              </w:rPr>
              <w:t>25</w:t>
            </w:r>
            <w:r w:rsidRPr="000451E4">
              <w:rPr>
                <w:rFonts w:ascii="宋体" w:hAnsi="宋体"/>
                <w:sz w:val="24"/>
                <w:szCs w:val="24"/>
              </w:rPr>
              <w:t>分；</w:t>
            </w:r>
          </w:p>
          <w:p w14:paraId="49E825AC" w14:textId="77777777" w:rsidR="000451E4" w:rsidRPr="000451E4" w:rsidRDefault="000451E4" w:rsidP="00113A4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0451E4">
              <w:rPr>
                <w:rFonts w:ascii="宋体" w:hAnsi="宋体"/>
                <w:sz w:val="24"/>
                <w:szCs w:val="24"/>
              </w:rPr>
              <w:t>4）总分值为1至5项之和，范围为20～1</w:t>
            </w:r>
            <w:r w:rsidRPr="000451E4">
              <w:rPr>
                <w:rFonts w:ascii="宋体" w:hAnsi="宋体" w:hint="eastAsia"/>
                <w:sz w:val="24"/>
                <w:szCs w:val="24"/>
              </w:rPr>
              <w:t>25</w:t>
            </w:r>
            <w:r w:rsidRPr="000451E4">
              <w:rPr>
                <w:rFonts w:ascii="宋体" w:hAnsi="宋体"/>
                <w:sz w:val="24"/>
                <w:szCs w:val="24"/>
              </w:rPr>
              <w:t>分；</w:t>
            </w:r>
          </w:p>
          <w:p w14:paraId="69FA0CE7" w14:textId="77777777" w:rsidR="000451E4" w:rsidRPr="000451E4" w:rsidRDefault="000451E4" w:rsidP="00113A4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0451E4">
              <w:rPr>
                <w:rFonts w:ascii="宋体" w:hAnsi="宋体"/>
                <w:sz w:val="24"/>
                <w:szCs w:val="24"/>
              </w:rPr>
              <w:t>5)</w:t>
            </w:r>
            <w:r w:rsidRPr="000451E4">
              <w:rPr>
                <w:rFonts w:ascii="宋体" w:hAnsi="宋体" w:hint="eastAsia"/>
                <w:sz w:val="24"/>
                <w:szCs w:val="24"/>
              </w:rPr>
              <w:t>五星级从业单位原则上综合评分需达到90分以上</w:t>
            </w:r>
            <w:proofErr w:type="gramStart"/>
            <w:r w:rsidRPr="000451E4">
              <w:rPr>
                <w:rFonts w:ascii="宋体" w:hAnsi="宋体" w:hint="eastAsia"/>
                <w:sz w:val="24"/>
                <w:szCs w:val="24"/>
              </w:rPr>
              <w:t>且评价期</w:t>
            </w:r>
            <w:proofErr w:type="gramEnd"/>
            <w:r w:rsidRPr="000451E4">
              <w:rPr>
                <w:rFonts w:ascii="宋体" w:hAnsi="宋体" w:hint="eastAsia"/>
                <w:sz w:val="24"/>
                <w:szCs w:val="24"/>
              </w:rPr>
              <w:t>内有通过省级以上行政主管部门或其委托组织技术审查的业绩，四星级从业单位原则上综合评分需达到80分以上，三星级从业单位原则上综合评分需达到70分以上，二星级从业单位原则上综合评分需达到</w:t>
            </w:r>
            <w:r w:rsidRPr="000451E4">
              <w:rPr>
                <w:rFonts w:ascii="宋体" w:hAnsi="宋体"/>
                <w:sz w:val="24"/>
                <w:szCs w:val="24"/>
              </w:rPr>
              <w:t>6</w:t>
            </w:r>
            <w:r w:rsidRPr="000451E4">
              <w:rPr>
                <w:rFonts w:ascii="宋体" w:hAnsi="宋体" w:hint="eastAsia"/>
                <w:sz w:val="24"/>
                <w:szCs w:val="24"/>
              </w:rPr>
              <w:t>0分以上，</w:t>
            </w:r>
            <w:r w:rsidRPr="000451E4">
              <w:rPr>
                <w:rFonts w:ascii="宋体" w:hAnsi="宋体"/>
                <w:sz w:val="24"/>
                <w:szCs w:val="24"/>
              </w:rPr>
              <w:t>总分值低于20分的</w:t>
            </w:r>
            <w:r w:rsidRPr="000451E4">
              <w:rPr>
                <w:rFonts w:ascii="宋体" w:hAnsi="宋体" w:hint="eastAsia"/>
                <w:sz w:val="24"/>
                <w:szCs w:val="24"/>
              </w:rPr>
              <w:t>取消水平</w:t>
            </w:r>
            <w:r w:rsidRPr="000451E4">
              <w:rPr>
                <w:rFonts w:ascii="宋体" w:hAnsi="宋体"/>
                <w:sz w:val="24"/>
                <w:szCs w:val="24"/>
              </w:rPr>
              <w:t>评价</w:t>
            </w:r>
            <w:r w:rsidRPr="000451E4">
              <w:rPr>
                <w:rFonts w:ascii="宋体" w:hAnsi="宋体" w:hint="eastAsia"/>
                <w:sz w:val="24"/>
                <w:szCs w:val="24"/>
              </w:rPr>
              <w:t>资格</w:t>
            </w:r>
            <w:r w:rsidRPr="000451E4">
              <w:rPr>
                <w:rFonts w:ascii="宋体" w:hAnsi="宋体"/>
                <w:sz w:val="24"/>
                <w:szCs w:val="24"/>
              </w:rPr>
              <w:t>。</w:t>
            </w:r>
          </w:p>
        </w:tc>
      </w:tr>
    </w:tbl>
    <w:p w14:paraId="47F57C99" w14:textId="77777777" w:rsidR="00161675" w:rsidRPr="000451E4" w:rsidRDefault="00161675"/>
    <w:sectPr w:rsidR="00161675" w:rsidRPr="000451E4" w:rsidSect="000451E4">
      <w:pgSz w:w="23811" w:h="16838" w:orient="landscape" w:code="8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EFBD3" w14:textId="77777777" w:rsidR="00B7755E" w:rsidRDefault="00B7755E" w:rsidP="000451E4">
      <w:r>
        <w:separator/>
      </w:r>
    </w:p>
  </w:endnote>
  <w:endnote w:type="continuationSeparator" w:id="0">
    <w:p w14:paraId="6C830D84" w14:textId="77777777" w:rsidR="00B7755E" w:rsidRDefault="00B7755E" w:rsidP="00045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79A3D" w14:textId="77777777" w:rsidR="00B7755E" w:rsidRDefault="00B7755E" w:rsidP="000451E4">
      <w:r>
        <w:separator/>
      </w:r>
    </w:p>
  </w:footnote>
  <w:footnote w:type="continuationSeparator" w:id="0">
    <w:p w14:paraId="55BDF753" w14:textId="77777777" w:rsidR="00B7755E" w:rsidRDefault="00B7755E" w:rsidP="000451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63B"/>
    <w:rsid w:val="00022617"/>
    <w:rsid w:val="000242F4"/>
    <w:rsid w:val="00036A0F"/>
    <w:rsid w:val="00043C42"/>
    <w:rsid w:val="000451E4"/>
    <w:rsid w:val="000E6C56"/>
    <w:rsid w:val="000E6CD3"/>
    <w:rsid w:val="000E7C18"/>
    <w:rsid w:val="001124FE"/>
    <w:rsid w:val="00132117"/>
    <w:rsid w:val="00140CC8"/>
    <w:rsid w:val="00143482"/>
    <w:rsid w:val="001554C1"/>
    <w:rsid w:val="00161675"/>
    <w:rsid w:val="00193767"/>
    <w:rsid w:val="001E3BEF"/>
    <w:rsid w:val="002351ED"/>
    <w:rsid w:val="002B00F9"/>
    <w:rsid w:val="002E2405"/>
    <w:rsid w:val="002E4CE8"/>
    <w:rsid w:val="00303B5E"/>
    <w:rsid w:val="00330CCE"/>
    <w:rsid w:val="003334A6"/>
    <w:rsid w:val="00340DA9"/>
    <w:rsid w:val="00344065"/>
    <w:rsid w:val="00382DBA"/>
    <w:rsid w:val="00390629"/>
    <w:rsid w:val="00395C4B"/>
    <w:rsid w:val="003A1A18"/>
    <w:rsid w:val="003A1F3C"/>
    <w:rsid w:val="003A23EC"/>
    <w:rsid w:val="003A5065"/>
    <w:rsid w:val="003C0D85"/>
    <w:rsid w:val="003D1E1C"/>
    <w:rsid w:val="003D1F2A"/>
    <w:rsid w:val="003D593B"/>
    <w:rsid w:val="004112BC"/>
    <w:rsid w:val="004467DD"/>
    <w:rsid w:val="00473A4C"/>
    <w:rsid w:val="00485135"/>
    <w:rsid w:val="004B20D4"/>
    <w:rsid w:val="004C67CF"/>
    <w:rsid w:val="004D758D"/>
    <w:rsid w:val="004F4BFD"/>
    <w:rsid w:val="00503B8A"/>
    <w:rsid w:val="005406B9"/>
    <w:rsid w:val="00544FCE"/>
    <w:rsid w:val="005973D9"/>
    <w:rsid w:val="005C3C95"/>
    <w:rsid w:val="005F37EE"/>
    <w:rsid w:val="006243DF"/>
    <w:rsid w:val="00624F35"/>
    <w:rsid w:val="006272BC"/>
    <w:rsid w:val="00644C74"/>
    <w:rsid w:val="006517A8"/>
    <w:rsid w:val="006553C5"/>
    <w:rsid w:val="00671FBC"/>
    <w:rsid w:val="006A4F6E"/>
    <w:rsid w:val="006C44B7"/>
    <w:rsid w:val="006D1BCE"/>
    <w:rsid w:val="00703821"/>
    <w:rsid w:val="007071E8"/>
    <w:rsid w:val="0071052C"/>
    <w:rsid w:val="00732910"/>
    <w:rsid w:val="007554B7"/>
    <w:rsid w:val="0075715D"/>
    <w:rsid w:val="00761A03"/>
    <w:rsid w:val="00782293"/>
    <w:rsid w:val="00797ACD"/>
    <w:rsid w:val="007D30DA"/>
    <w:rsid w:val="007E2849"/>
    <w:rsid w:val="007E611A"/>
    <w:rsid w:val="007F1AD1"/>
    <w:rsid w:val="00811791"/>
    <w:rsid w:val="008253B6"/>
    <w:rsid w:val="00847C35"/>
    <w:rsid w:val="00855339"/>
    <w:rsid w:val="008613D5"/>
    <w:rsid w:val="008805FC"/>
    <w:rsid w:val="00886156"/>
    <w:rsid w:val="0089663B"/>
    <w:rsid w:val="008D1B88"/>
    <w:rsid w:val="008D5EFA"/>
    <w:rsid w:val="00915DF8"/>
    <w:rsid w:val="009334CD"/>
    <w:rsid w:val="00977FA3"/>
    <w:rsid w:val="009B7880"/>
    <w:rsid w:val="009D4D8E"/>
    <w:rsid w:val="009E1646"/>
    <w:rsid w:val="00A1184D"/>
    <w:rsid w:val="00A422C7"/>
    <w:rsid w:val="00A54292"/>
    <w:rsid w:val="00A6401E"/>
    <w:rsid w:val="00A729AE"/>
    <w:rsid w:val="00A924E3"/>
    <w:rsid w:val="00AA2FE4"/>
    <w:rsid w:val="00AE664E"/>
    <w:rsid w:val="00B059D5"/>
    <w:rsid w:val="00B10533"/>
    <w:rsid w:val="00B21692"/>
    <w:rsid w:val="00B319BD"/>
    <w:rsid w:val="00B33854"/>
    <w:rsid w:val="00B46739"/>
    <w:rsid w:val="00B55A31"/>
    <w:rsid w:val="00B7755E"/>
    <w:rsid w:val="00B82C42"/>
    <w:rsid w:val="00B84173"/>
    <w:rsid w:val="00B9063B"/>
    <w:rsid w:val="00BB3949"/>
    <w:rsid w:val="00BC58AC"/>
    <w:rsid w:val="00BE2538"/>
    <w:rsid w:val="00BE4A98"/>
    <w:rsid w:val="00BF3527"/>
    <w:rsid w:val="00C07141"/>
    <w:rsid w:val="00C326A5"/>
    <w:rsid w:val="00C473BB"/>
    <w:rsid w:val="00C556EF"/>
    <w:rsid w:val="00C74BDC"/>
    <w:rsid w:val="00C96C52"/>
    <w:rsid w:val="00CA2187"/>
    <w:rsid w:val="00CF42F9"/>
    <w:rsid w:val="00CF5529"/>
    <w:rsid w:val="00CF6B96"/>
    <w:rsid w:val="00D012A5"/>
    <w:rsid w:val="00D11CAF"/>
    <w:rsid w:val="00D66199"/>
    <w:rsid w:val="00D77A0B"/>
    <w:rsid w:val="00D77C00"/>
    <w:rsid w:val="00D91235"/>
    <w:rsid w:val="00DC6471"/>
    <w:rsid w:val="00DF6EE2"/>
    <w:rsid w:val="00E072FF"/>
    <w:rsid w:val="00E266B5"/>
    <w:rsid w:val="00E44ADD"/>
    <w:rsid w:val="00E47859"/>
    <w:rsid w:val="00E65E9A"/>
    <w:rsid w:val="00E90E1E"/>
    <w:rsid w:val="00E95BA4"/>
    <w:rsid w:val="00E9769C"/>
    <w:rsid w:val="00ED0E03"/>
    <w:rsid w:val="00EE3BD7"/>
    <w:rsid w:val="00EE45B9"/>
    <w:rsid w:val="00EF7E2A"/>
    <w:rsid w:val="00F01427"/>
    <w:rsid w:val="00F10607"/>
    <w:rsid w:val="00F377C4"/>
    <w:rsid w:val="00F505CA"/>
    <w:rsid w:val="00F50AF9"/>
    <w:rsid w:val="00F60123"/>
    <w:rsid w:val="00F60CD8"/>
    <w:rsid w:val="00F64F56"/>
    <w:rsid w:val="00F92051"/>
    <w:rsid w:val="00FA1BC5"/>
    <w:rsid w:val="00FB00C0"/>
    <w:rsid w:val="00FC0088"/>
    <w:rsid w:val="00FC65BD"/>
    <w:rsid w:val="00FD1529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0CAE5C"/>
  <w15:chartTrackingRefBased/>
  <w15:docId w15:val="{F5D529C3-10F4-4C2A-B2C5-17D118D3F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51E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51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451E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451E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451E4"/>
    <w:rPr>
      <w:sz w:val="18"/>
      <w:szCs w:val="18"/>
    </w:rPr>
  </w:style>
  <w:style w:type="table" w:styleId="a7">
    <w:name w:val="Table Grid"/>
    <w:basedOn w:val="a1"/>
    <w:uiPriority w:val="59"/>
    <w:qFormat/>
    <w:rsid w:val="000451E4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9A69B-06C8-47A8-9424-74394404E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可嘉</dc:creator>
  <cp:keywords/>
  <dc:description/>
  <cp:lastModifiedBy>张 可嘉</cp:lastModifiedBy>
  <cp:revision>5</cp:revision>
  <dcterms:created xsi:type="dcterms:W3CDTF">2022-04-11T06:31:00Z</dcterms:created>
  <dcterms:modified xsi:type="dcterms:W3CDTF">2022-04-11T06:35:00Z</dcterms:modified>
</cp:coreProperties>
</file>